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C0DC" w14:textId="77777777" w:rsidR="000237CE" w:rsidRPr="000237CE" w:rsidRDefault="000237CE" w:rsidP="000237CE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sz w:val="24"/>
          <w:szCs w:val="24"/>
        </w:rPr>
        <w:t>B”H</w:t>
      </w:r>
    </w:p>
    <w:p w14:paraId="1ABAA535" w14:textId="1CEC4707" w:rsidR="000237CE" w:rsidRPr="000237CE" w:rsidRDefault="000237CE" w:rsidP="000237CE">
      <w:pPr>
        <w:spacing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proofErr w:type="spellStart"/>
      <w:r w:rsidRPr="000237CE">
        <w:rPr>
          <w:rFonts w:asciiTheme="majorBidi" w:eastAsia="Times New Roman" w:hAnsiTheme="majorBidi" w:cstheme="majorBidi"/>
          <w:sz w:val="24"/>
          <w:szCs w:val="24"/>
        </w:rPr>
        <w:t>Hagadda</w:t>
      </w:r>
      <w:r>
        <w:rPr>
          <w:rFonts w:asciiTheme="majorBidi" w:eastAsia="Times New Roman" w:hAnsiTheme="majorBidi" w:cstheme="majorBidi"/>
          <w:sz w:val="24"/>
          <w:szCs w:val="24"/>
        </w:rPr>
        <w:t>h</w:t>
      </w:r>
      <w:proofErr w:type="spellEnd"/>
      <w:r w:rsidRPr="000237CE">
        <w:rPr>
          <w:rFonts w:asciiTheme="majorBidi" w:eastAsia="Times New Roman" w:hAnsiTheme="majorBidi" w:cstheme="majorBidi"/>
          <w:sz w:val="24"/>
          <w:szCs w:val="24"/>
        </w:rPr>
        <w:t xml:space="preserve"> Blueprints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2498"/>
        <w:gridCol w:w="2431"/>
        <w:gridCol w:w="2411"/>
        <w:gridCol w:w="2278"/>
      </w:tblGrid>
      <w:tr w:rsidR="000237CE" w:rsidRPr="000237CE" w14:paraId="64849DD2" w14:textId="77777777" w:rsidTr="000237C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0A5FE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CCBC8A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99"/>
              </w:rPr>
              <w:t>Introductory Question</w:t>
            </w:r>
          </w:p>
        </w:tc>
        <w:tc>
          <w:tcPr>
            <w:tcW w:w="24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9EDF9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C000"/>
              </w:rPr>
              <w:t>Story</w:t>
            </w:r>
          </w:p>
        </w:tc>
        <w:tc>
          <w:tcPr>
            <w:tcW w:w="24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DB3C40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C3D69B"/>
              </w:rPr>
              <w:t>Gratitude and Praise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A35871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8EAADB" w:themeFill="accent1" w:themeFillTint="99"/>
              </w:rPr>
              <w:t>Method of Transmission</w:t>
            </w: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237CE" w:rsidRPr="000237CE" w14:paraId="3E07D660" w14:textId="77777777" w:rsidTr="000237C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77906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Part 1</w:t>
            </w:r>
          </w:p>
        </w:tc>
        <w:tc>
          <w:tcPr>
            <w:tcW w:w="2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DABF10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Ma </w:t>
            </w:r>
            <w:proofErr w:type="spellStart"/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Nishtana</w:t>
            </w:r>
            <w:proofErr w:type="spellEnd"/>
          </w:p>
        </w:tc>
        <w:tc>
          <w:tcPr>
            <w:tcW w:w="24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08129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Avadim </w:t>
            </w:r>
            <w:proofErr w:type="spellStart"/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Hainu</w:t>
            </w:r>
            <w:proofErr w:type="spellEnd"/>
          </w:p>
        </w:tc>
        <w:tc>
          <w:tcPr>
            <w:tcW w:w="24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7CC25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Baruch </w:t>
            </w:r>
            <w:proofErr w:type="spellStart"/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Hamakom</w:t>
            </w:r>
            <w:proofErr w:type="spellEnd"/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FA7DF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Story: Physical </w:t>
            </w:r>
            <w:proofErr w:type="spellStart"/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Labour</w:t>
            </w:r>
            <w:proofErr w:type="spellEnd"/>
          </w:p>
        </w:tc>
      </w:tr>
      <w:tr w:rsidR="000237CE" w:rsidRPr="000237CE" w14:paraId="09C981E7" w14:textId="77777777" w:rsidTr="000237C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B7FBD6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Part 2</w:t>
            </w:r>
          </w:p>
        </w:tc>
        <w:tc>
          <w:tcPr>
            <w:tcW w:w="2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52E37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The wise one, </w:t>
            </w:r>
            <w:proofErr w:type="gramStart"/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what  does</w:t>
            </w:r>
            <w:proofErr w:type="gramEnd"/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he ask?</w:t>
            </w:r>
          </w:p>
        </w:tc>
        <w:tc>
          <w:tcPr>
            <w:tcW w:w="24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0AB5EB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At first, we were idol worshippers </w:t>
            </w:r>
          </w:p>
        </w:tc>
        <w:tc>
          <w:tcPr>
            <w:tcW w:w="24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1CC38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Blessed who keeps His promise</w:t>
            </w:r>
          </w:p>
          <w:p w14:paraId="57343DA2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ברוך שומר הבטחתו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D6006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Story: Spiritual servitude</w:t>
            </w:r>
          </w:p>
        </w:tc>
      </w:tr>
      <w:tr w:rsidR="000237CE" w:rsidRPr="000237CE" w14:paraId="3F04B79F" w14:textId="77777777" w:rsidTr="000237C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89257B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Part 3</w:t>
            </w:r>
          </w:p>
        </w:tc>
        <w:tc>
          <w:tcPr>
            <w:tcW w:w="2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6F99C1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What did </w:t>
            </w:r>
            <w:proofErr w:type="spellStart"/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Lavan</w:t>
            </w:r>
            <w:proofErr w:type="spellEnd"/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ask to do? </w:t>
            </w:r>
            <w:r w:rsidRPr="000237C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מה בקש לבן</w:t>
            </w:r>
          </w:p>
        </w:tc>
        <w:tc>
          <w:tcPr>
            <w:tcW w:w="24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6A522F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Go out </w:t>
            </w:r>
            <w:proofErr w:type="gramStart"/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and  learn</w:t>
            </w:r>
            <w:proofErr w:type="gramEnd"/>
          </w:p>
          <w:p w14:paraId="4FDFC371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צא ולמד</w:t>
            </w:r>
          </w:p>
        </w:tc>
        <w:tc>
          <w:tcPr>
            <w:tcW w:w="24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9B551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How many good attributes </w:t>
            </w:r>
            <w:r w:rsidRPr="000237C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כמה מעלות טובות</w:t>
            </w:r>
          </w:p>
        </w:tc>
        <w:tc>
          <w:tcPr>
            <w:tcW w:w="22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DDA83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Analysis: homiletic interpretation of verses</w:t>
            </w:r>
          </w:p>
        </w:tc>
      </w:tr>
      <w:tr w:rsidR="000237CE" w:rsidRPr="000237CE" w14:paraId="455D6CFE" w14:textId="77777777" w:rsidTr="000237C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05150C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Part 4</w:t>
            </w:r>
          </w:p>
        </w:tc>
        <w:tc>
          <w:tcPr>
            <w:tcW w:w="2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052F5F" w14:textId="4660BB72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This </w:t>
            </w:r>
            <w:r w:rsidR="00BC79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Pesach </w:t>
            </w:r>
            <w:proofErr w:type="spellStart"/>
            <w:r w:rsidR="00BC795B">
              <w:rPr>
                <w:rFonts w:asciiTheme="majorBidi" w:eastAsia="Times New Roman" w:hAnsiTheme="majorBidi" w:cstheme="majorBidi"/>
                <w:sz w:val="24"/>
                <w:szCs w:val="24"/>
              </w:rPr>
              <w:t>offesing</w:t>
            </w:r>
            <w:proofErr w:type="spellEnd"/>
            <w:r w:rsidR="00BC795B">
              <w:rPr>
                <w:rFonts w:asciiTheme="majorBidi" w:eastAsia="Times New Roman" w:hAnsiTheme="majorBidi" w:cstheme="majorBidi"/>
                <w:sz w:val="24"/>
                <w:szCs w:val="24"/>
              </w:rPr>
              <w:t>…</w:t>
            </w: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what is it for? </w:t>
            </w:r>
            <w:r w:rsidRPr="000237C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מצה זו, על שום מה?</w:t>
            </w:r>
            <w:r w:rsidR="00616DE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16DE1">
              <w:rPr>
                <w:rFonts w:asciiTheme="majorBidi" w:eastAsia="Times New Roman" w:hAnsiTheme="majorBidi" w:cstheme="majorBidi"/>
                <w:sz w:val="24"/>
                <w:szCs w:val="24"/>
              </w:rPr>
              <w:t>Etc</w:t>
            </w:r>
            <w:proofErr w:type="spellEnd"/>
            <w:r w:rsidR="00616DE1">
              <w:rPr>
                <w:rFonts w:asciiTheme="majorBidi" w:eastAsia="Times New Roman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24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72A54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Rabban Gamliel- Pesach, Matzah and </w:t>
            </w:r>
            <w:proofErr w:type="spellStart"/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Maror</w:t>
            </w:r>
            <w:proofErr w:type="spellEnd"/>
          </w:p>
        </w:tc>
        <w:tc>
          <w:tcPr>
            <w:tcW w:w="24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1F91B0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Therefore</w:t>
            </w:r>
            <w:proofErr w:type="gramEnd"/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we must thank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4D71D" w14:textId="77777777" w:rsidR="000237CE" w:rsidRPr="000237CE" w:rsidRDefault="000237CE" w:rsidP="000237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37CE">
              <w:rPr>
                <w:rFonts w:asciiTheme="majorBidi" w:eastAsia="Times New Roman" w:hAnsiTheme="majorBidi" w:cstheme="majorBidi"/>
                <w:sz w:val="24"/>
                <w:szCs w:val="24"/>
              </w:rPr>
              <w:t>Illustration,</w:t>
            </w:r>
            <w:r w:rsidRPr="000237CE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המחשה</w:t>
            </w:r>
          </w:p>
        </w:tc>
      </w:tr>
    </w:tbl>
    <w:p w14:paraId="2C2B36F9" w14:textId="77777777" w:rsidR="000237CE" w:rsidRPr="000237CE" w:rsidRDefault="000237CE" w:rsidP="000237CE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10E8BB1D" w14:textId="77777777" w:rsidR="000237CE" w:rsidRPr="000237CE" w:rsidRDefault="000237CE" w:rsidP="000237CE">
      <w:pPr>
        <w:spacing w:after="26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The Gemara says we begin with the Passover story with ‘shame/disgrace’ and end with the praise/virtue. </w:t>
      </w:r>
    </w:p>
    <w:p w14:paraId="4B5EF40B" w14:textId="77777777" w:rsidR="000237CE" w:rsidRPr="000237CE" w:rsidRDefault="000237CE" w:rsidP="000237CE">
      <w:pPr>
        <w:spacing w:after="26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Shmuel holds we begin with 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rtl/>
        </w:rPr>
        <w:t>עבדים היינו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; we were slaves in Egypt</w:t>
      </w:r>
    </w:p>
    <w:p w14:paraId="14C51FCB" w14:textId="306B8A80" w:rsidR="000237CE" w:rsidRPr="000237CE" w:rsidRDefault="000237CE" w:rsidP="000237CE">
      <w:pPr>
        <w:spacing w:after="26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Rav says we begin with 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rtl/>
        </w:rPr>
        <w:t>מתחילה עובדי עבודה זרה היו אבותינו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.  at first our forefathers we idol-worshippers </w:t>
      </w:r>
    </w:p>
    <w:p w14:paraId="69616165" w14:textId="77777777" w:rsidR="000237CE" w:rsidRPr="000237CE" w:rsidRDefault="000237CE" w:rsidP="000237CE">
      <w:pPr>
        <w:spacing w:after="26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We follow both opinions:</w:t>
      </w:r>
    </w:p>
    <w:p w14:paraId="57E257CD" w14:textId="0803CEE6" w:rsidR="000237CE" w:rsidRPr="000237CE" w:rsidRDefault="000237CE" w:rsidP="000237CE">
      <w:pPr>
        <w:numPr>
          <w:ilvl w:val="0"/>
          <w:numId w:val="2"/>
        </w:numPr>
        <w:spacing w:line="240" w:lineRule="auto"/>
        <w:ind w:left="540"/>
        <w:textAlignment w:val="center"/>
        <w:rPr>
          <w:rFonts w:asciiTheme="majorBidi" w:eastAsia="Times New Roman" w:hAnsiTheme="majorBidi" w:cstheme="majorBidi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The first “</w:t>
      </w:r>
      <w:proofErr w:type="spellStart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haggadah</w:t>
      </w:r>
      <w:proofErr w:type="spellEnd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”, of Shmuel:</w:t>
      </w:r>
      <w:r w:rsidR="00616DE1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begins with questions (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rtl/>
        </w:rPr>
        <w:t>מה נשתנה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, how is this night different), proceeds to 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rtl/>
        </w:rPr>
        <w:t>עבדים היינו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(the bad) and ends with 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rtl/>
        </w:rPr>
        <w:t>ברוך המקום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(praise).</w:t>
      </w:r>
    </w:p>
    <w:p w14:paraId="214F33D5" w14:textId="77777777" w:rsidR="000237CE" w:rsidRPr="000237CE" w:rsidRDefault="000237CE" w:rsidP="000237CE">
      <w:pPr>
        <w:numPr>
          <w:ilvl w:val="0"/>
          <w:numId w:val="2"/>
        </w:numPr>
        <w:spacing w:line="240" w:lineRule="auto"/>
        <w:ind w:left="540"/>
        <w:textAlignment w:val="center"/>
        <w:rPr>
          <w:rFonts w:asciiTheme="majorBidi" w:eastAsia="Times New Roman" w:hAnsiTheme="majorBidi" w:cstheme="majorBidi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The second “</w:t>
      </w:r>
      <w:proofErr w:type="spellStart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haggadah</w:t>
      </w:r>
      <w:proofErr w:type="spellEnd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”, of Rav, begins with the questions of the four sons, proceeds to 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rtl/>
        </w:rPr>
        <w:t>מתחילה עובדי עבודה זרה היו אבותינו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and ends with 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rtl/>
        </w:rPr>
        <w:t>ברוך שומר הבטחתו לישראל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(praise).</w:t>
      </w:r>
    </w:p>
    <w:p w14:paraId="76843C7B" w14:textId="77777777" w:rsidR="000237CE" w:rsidRPr="000237CE" w:rsidRDefault="000237CE" w:rsidP="000237CE">
      <w:pPr>
        <w:numPr>
          <w:ilvl w:val="0"/>
          <w:numId w:val="2"/>
        </w:numPr>
        <w:spacing w:line="240" w:lineRule="auto"/>
        <w:ind w:left="540"/>
        <w:textAlignment w:val="center"/>
        <w:rPr>
          <w:rFonts w:asciiTheme="majorBidi" w:eastAsia="Times New Roman" w:hAnsiTheme="majorBidi" w:cstheme="majorBidi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The third time this structural pattern occurs: the story is told using the </w:t>
      </w:r>
      <w:proofErr w:type="spellStart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pesukim</w:t>
      </w:r>
      <w:proofErr w:type="spellEnd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from </w:t>
      </w:r>
      <w:proofErr w:type="spellStart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bikkurim</w:t>
      </w:r>
      <w:proofErr w:type="spellEnd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and conclude with the praise of </w:t>
      </w:r>
      <w:proofErr w:type="spellStart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Dayenu</w:t>
      </w:r>
      <w:proofErr w:type="spellEnd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. This is introduced with a question. </w:t>
      </w:r>
    </w:p>
    <w:p w14:paraId="4A112D2C" w14:textId="1524EFCD" w:rsidR="000237CE" w:rsidRPr="000237CE" w:rsidRDefault="000237CE" w:rsidP="000237CE">
      <w:pPr>
        <w:numPr>
          <w:ilvl w:val="0"/>
          <w:numId w:val="2"/>
        </w:numPr>
        <w:spacing w:line="240" w:lineRule="auto"/>
        <w:ind w:left="540"/>
        <w:textAlignment w:val="center"/>
        <w:rPr>
          <w:rFonts w:asciiTheme="majorBidi" w:eastAsia="Times New Roman" w:hAnsiTheme="majorBidi" w:cstheme="majorBidi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The fourth telling of the story is communicated </w:t>
      </w:r>
      <w:r w:rsidR="00BC795B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through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the medium of Pesach, Matzah, and </w:t>
      </w:r>
      <w:proofErr w:type="spellStart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Maror</w:t>
      </w:r>
      <w:proofErr w:type="spellEnd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and concl</w:t>
      </w:r>
      <w:bookmarkStart w:id="0" w:name="_GoBack"/>
      <w:bookmarkEnd w:id="0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udes with the praise of </w:t>
      </w:r>
      <w:proofErr w:type="gramStart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rtl/>
        </w:rPr>
        <w:t>לפיכך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therefore it is fitting to praise… and the first 2 paragraphs of Hallel</w:t>
      </w:r>
      <w:r w:rsidR="00BC795B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. This is also introduced with a question. </w:t>
      </w:r>
    </w:p>
    <w:p w14:paraId="0FFEDFCE" w14:textId="77777777" w:rsidR="000237CE" w:rsidRPr="000237CE" w:rsidRDefault="000237CE" w:rsidP="000237CE">
      <w:pPr>
        <w:spacing w:after="26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Why do we repeat the story four times? </w:t>
      </w:r>
    </w:p>
    <w:p w14:paraId="101064EE" w14:textId="41A3C769" w:rsidR="000237CE" w:rsidRPr="000237CE" w:rsidRDefault="000237CE" w:rsidP="00A932EE">
      <w:pPr>
        <w:spacing w:after="26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>As an expression of what the Rambam rules that "The father teaches the son in</w:t>
      </w:r>
      <w:r w:rsidR="00A932E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0237CE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</w:rPr>
        <w:t xml:space="preserve">accordance with the son's ability" to teach us that the story and lessons need to be adapted to fit the learning style and needs of our children and ourselves. </w:t>
      </w:r>
    </w:p>
    <w:p w14:paraId="5FFCC27F" w14:textId="77777777" w:rsidR="000237CE" w:rsidRPr="000237CE" w:rsidRDefault="000237CE" w:rsidP="000237CE">
      <w:pPr>
        <w:spacing w:after="26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</w:p>
    <w:p w14:paraId="7EBE5946" w14:textId="77777777" w:rsidR="000237CE" w:rsidRPr="000237CE" w:rsidRDefault="000237CE" w:rsidP="000237CE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1801CB42" w14:textId="182EB8C9" w:rsidR="000237CE" w:rsidRPr="000237CE" w:rsidRDefault="00891B1C" w:rsidP="00891B1C">
      <w:pPr>
        <w:shd w:val="clear" w:color="auto" w:fill="FFFFFF"/>
        <w:spacing w:after="27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0237C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</w:p>
    <w:sectPr w:rsidR="000237CE" w:rsidRPr="000237CE" w:rsidSect="00023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6CE7"/>
    <w:multiLevelType w:val="multilevel"/>
    <w:tmpl w:val="6E2A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D3535"/>
    <w:multiLevelType w:val="multilevel"/>
    <w:tmpl w:val="E452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9E"/>
    <w:rsid w:val="000237CE"/>
    <w:rsid w:val="00024E9E"/>
    <w:rsid w:val="005151F8"/>
    <w:rsid w:val="00616DE1"/>
    <w:rsid w:val="00891B1C"/>
    <w:rsid w:val="00A22825"/>
    <w:rsid w:val="00A932EE"/>
    <w:rsid w:val="00BC35F5"/>
    <w:rsid w:val="00BC795B"/>
    <w:rsid w:val="00E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AC90"/>
  <w15:chartTrackingRefBased/>
  <w15:docId w15:val="{C9FFFF50-0779-4734-BD19-A90C8031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 and Ori Bergman</dc:creator>
  <cp:keywords/>
  <dc:description/>
  <cp:lastModifiedBy>Nori and Ori Bergman</cp:lastModifiedBy>
  <cp:revision>5</cp:revision>
  <dcterms:created xsi:type="dcterms:W3CDTF">2019-04-12T02:40:00Z</dcterms:created>
  <dcterms:modified xsi:type="dcterms:W3CDTF">2020-03-24T03:23:00Z</dcterms:modified>
</cp:coreProperties>
</file>